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D5" w:rsidRPr="003078CE" w:rsidRDefault="002578D5" w:rsidP="005C799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3078CE">
        <w:rPr>
          <w:rStyle w:val="FontStyle14"/>
          <w:sz w:val="28"/>
          <w:szCs w:val="28"/>
        </w:rPr>
        <w:t>КУМУЛЯЦИЯ ЭНЕРГИИ В СЛОИСТЫХ СИСТЕМАХ И РЕАЛИЗАЦИЯ БЕЗУДАРНОГО СЖАТИЯ.</w:t>
      </w:r>
    </w:p>
    <w:p w:rsidR="002578D5" w:rsidRPr="00907A70" w:rsidRDefault="002578D5" w:rsidP="00B40141">
      <w:pPr>
        <w:pBdr>
          <w:bottom w:val="single" w:sz="4" w:space="1" w:color="auto"/>
        </w:pBdr>
        <w:jc w:val="center"/>
        <w:rPr>
          <w:b/>
          <w:bCs/>
        </w:rPr>
      </w:pPr>
    </w:p>
    <w:p w:rsidR="002578D5" w:rsidRDefault="002578D5" w:rsidP="00FE2602">
      <w:pPr>
        <w:jc w:val="center"/>
      </w:pPr>
      <w:r>
        <w:t>д.ф.-м.н., проф</w:t>
      </w:r>
      <w:r w:rsidRPr="0038010F">
        <w:t xml:space="preserve">. </w:t>
      </w:r>
      <w:r>
        <w:t>Г.В</w:t>
      </w:r>
      <w:r w:rsidRPr="0038010F">
        <w:t xml:space="preserve">. </w:t>
      </w:r>
      <w:r>
        <w:t>Долголева</w:t>
      </w:r>
    </w:p>
    <w:p w:rsidR="002578D5" w:rsidRPr="00C52FD1" w:rsidRDefault="002578D5" w:rsidP="00FE2602">
      <w:pPr>
        <w:jc w:val="center"/>
      </w:pPr>
      <w:r>
        <w:t>Специальный курс по выбору кафедры вычислительной механики (полугодовой)</w:t>
      </w:r>
    </w:p>
    <w:p w:rsidR="002578D5" w:rsidRPr="005F6680" w:rsidRDefault="002578D5" w:rsidP="00FE2602">
      <w:pPr>
        <w:jc w:val="center"/>
      </w:pPr>
    </w:p>
    <w:p w:rsidR="002578D5" w:rsidRPr="00103688" w:rsidRDefault="002578D5" w:rsidP="00103688">
      <w:pPr>
        <w:ind w:left="57" w:firstLine="505"/>
        <w:rPr>
          <w:sz w:val="22"/>
          <w:szCs w:val="22"/>
        </w:rPr>
      </w:pPr>
      <w:r w:rsidRPr="00103688">
        <w:rPr>
          <w:sz w:val="22"/>
          <w:szCs w:val="22"/>
        </w:rPr>
        <w:t xml:space="preserve">Расчетно- теоретически доказано, что для практического осуществления безударного сжатия (в плоском, цилиндрическом или сферическом случаях) можно построить, слоистую систему и осуществить определенное энерговложение так, чтобы воспроизвести на границе центральной области  необходимые значения скорости и давления  для осуществления безударного сжатия области. Для обоснования этого утверждения необходимо воспользоваться спецификой конструкции оболочечных систем, предназначенных для кумуляции энергии и построить приближенную теорию движения этих систем. </w:t>
      </w:r>
    </w:p>
    <w:p w:rsidR="002578D5" w:rsidRDefault="002578D5" w:rsidP="00FE2602">
      <w:pPr>
        <w:jc w:val="both"/>
      </w:pPr>
    </w:p>
    <w:p w:rsidR="002578D5" w:rsidRDefault="002578D5" w:rsidP="00FE2602">
      <w:pPr>
        <w:ind w:left="-567" w:firstLine="567"/>
      </w:pPr>
      <w:r>
        <w:t>В курсе рассматриваются следующие вопросы.</w:t>
      </w:r>
    </w:p>
    <w:p w:rsidR="002578D5" w:rsidRDefault="002578D5" w:rsidP="00FE2602">
      <w:pPr>
        <w:ind w:left="-567" w:firstLine="567"/>
        <w:jc w:val="both"/>
      </w:pPr>
      <w:hyperlink w:anchor="_Toc341600099" w:history="1">
        <w:r w:rsidRPr="00AC3D3D">
          <w:rPr>
            <w:rStyle w:val="Hyperlink"/>
            <w:rFonts w:cs="Calibri"/>
            <w:noProof/>
            <w:color w:val="000000"/>
          </w:rPr>
          <w:t>Постановка задачи. Приближения, при которых строится решение</w:t>
        </w:r>
      </w:hyperlink>
      <w:r w:rsidRPr="00AC3D3D">
        <w:rPr>
          <w:rStyle w:val="Hyperlink"/>
          <w:rFonts w:cs="Calibri"/>
          <w:noProof/>
          <w:color w:val="000000"/>
        </w:rPr>
        <w:t>.</w:t>
      </w:r>
      <w:r>
        <w:rPr>
          <w:rStyle w:val="Hyperlink"/>
          <w:rFonts w:cs="Calibri"/>
          <w:noProof/>
          <w:color w:val="000000"/>
        </w:rPr>
        <w:t xml:space="preserve"> </w:t>
      </w:r>
      <w:hyperlink w:anchor="_Toc341600100" w:history="1">
        <w:r w:rsidRPr="00AC3D3D">
          <w:rPr>
            <w:rStyle w:val="Hyperlink"/>
            <w:rFonts w:cs="Calibri"/>
            <w:noProof/>
          </w:rPr>
          <w:t>Однокаскадная система</w:t>
        </w:r>
      </w:hyperlink>
      <w:r w:rsidRPr="00AC3D3D">
        <w:rPr>
          <w:rStyle w:val="Hyperlink"/>
          <w:rFonts w:cs="Calibri"/>
          <w:noProof/>
        </w:rPr>
        <w:t>.</w:t>
      </w:r>
      <w:hyperlink w:anchor="_Toc341600101" w:history="1">
        <w:r w:rsidRPr="00AC3D3D">
          <w:rPr>
            <w:rStyle w:val="Hyperlink"/>
            <w:rFonts w:cs="Calibri"/>
            <w:noProof/>
          </w:rPr>
          <w:t xml:space="preserve"> Первый этап построения решений- движение слоев в плоском приближении.</w:t>
        </w:r>
      </w:hyperlink>
      <w:r>
        <w:rPr>
          <w:rStyle w:val="Hyperlink"/>
          <w:rFonts w:cs="Calibri"/>
          <w:noProof/>
        </w:rPr>
        <w:t xml:space="preserve"> </w:t>
      </w:r>
      <w:r w:rsidRPr="00334E34">
        <w:t>Однокаскадная система</w:t>
      </w:r>
      <w:r>
        <w:t xml:space="preserve">. </w:t>
      </w:r>
      <w:r w:rsidRPr="00334E34">
        <w:t>Второй этап построения решений с учетом симметрии геометрии системы.</w:t>
      </w:r>
      <w:r>
        <w:t xml:space="preserve"> </w:t>
      </w:r>
      <w:r w:rsidRPr="00334E34">
        <w:t>Однокаскадная система</w:t>
      </w:r>
      <w:r>
        <w:t xml:space="preserve">. </w:t>
      </w:r>
      <w:r w:rsidRPr="007563CE">
        <w:t>Третий этап- этап схождения в цилиндрическом и сферическом случаях</w:t>
      </w:r>
      <w:r>
        <w:t>.</w:t>
      </w:r>
      <w:r w:rsidRPr="00B22EE9">
        <w:t xml:space="preserve"> </w:t>
      </w:r>
      <w:r>
        <w:t xml:space="preserve">Вариант чистополой слойки. </w:t>
      </w:r>
      <w:r w:rsidRPr="00334E34">
        <w:t>Однокаскадная система</w:t>
      </w:r>
      <w:r>
        <w:t xml:space="preserve">. </w:t>
      </w:r>
      <w:r w:rsidRPr="007563CE">
        <w:t>Третий этап- этап схождения в цилиндрическом и сферическом случаях</w:t>
      </w:r>
      <w:r>
        <w:t>.</w:t>
      </w:r>
      <w:r w:rsidRPr="00B22EE9">
        <w:t xml:space="preserve"> </w:t>
      </w:r>
      <w:r>
        <w:t>Вариант с заполнением полости веществом малой плотности.</w:t>
      </w:r>
      <w:hyperlink w:anchor="_Toc341600104" w:history="1">
        <w:r w:rsidRPr="00AC3D3D">
          <w:rPr>
            <w:color w:val="000000"/>
          </w:rPr>
          <w:t xml:space="preserve"> </w:t>
        </w:r>
        <w:r w:rsidRPr="00AC3D3D">
          <w:rPr>
            <w:rStyle w:val="Hyperlink"/>
            <w:rFonts w:cs="Calibri"/>
            <w:noProof/>
            <w:color w:val="000000"/>
          </w:rPr>
          <w:t>Двухкаскадная система.</w:t>
        </w:r>
      </w:hyperlink>
      <w:r w:rsidRPr="00AC3D3D">
        <w:rPr>
          <w:rStyle w:val="Hyperlink"/>
          <w:rFonts w:cs="Calibri"/>
          <w:noProof/>
          <w:color w:val="000000"/>
        </w:rPr>
        <w:t xml:space="preserve"> </w:t>
      </w:r>
      <w:hyperlink w:anchor="_Toc341600105" w:history="1">
        <w:r w:rsidRPr="00AC3D3D">
          <w:rPr>
            <w:rStyle w:val="Hyperlink"/>
            <w:rFonts w:cs="Calibri"/>
            <w:noProof/>
            <w:color w:val="000000"/>
          </w:rPr>
          <w:t>Первый этап- построение решения при совместном движении слоев двух каскадов.</w:t>
        </w:r>
      </w:hyperlink>
      <w:r>
        <w:rPr>
          <w:rStyle w:val="Hyperlink"/>
          <w:rFonts w:cs="Calibri"/>
          <w:noProof/>
          <w:color w:val="000000"/>
        </w:rPr>
        <w:t xml:space="preserve"> </w:t>
      </w:r>
      <w:r w:rsidRPr="00AC3D3D">
        <w:rPr>
          <w:color w:val="000000"/>
        </w:rPr>
        <w:t xml:space="preserve">Двухкаскадная система. </w:t>
      </w:r>
      <w:hyperlink w:anchor="_Toc341600106" w:history="1">
        <w:r w:rsidRPr="00AC3D3D">
          <w:rPr>
            <w:rStyle w:val="Hyperlink"/>
            <w:rFonts w:cs="Calibri"/>
            <w:noProof/>
            <w:color w:val="000000"/>
          </w:rPr>
          <w:t>Этап схождения.</w:t>
        </w:r>
      </w:hyperlink>
      <w:r w:rsidRPr="00AC3D3D">
        <w:rPr>
          <w:rStyle w:val="Hyperlink"/>
          <w:rFonts w:cs="Calibri"/>
          <w:noProof/>
          <w:color w:val="000000"/>
        </w:rPr>
        <w:t xml:space="preserve"> </w:t>
      </w:r>
      <w:hyperlink w:anchor="_Toc341600107" w:history="1">
        <w:r w:rsidRPr="00AC3D3D">
          <w:rPr>
            <w:rStyle w:val="Hyperlink"/>
            <w:rFonts w:cs="Calibri"/>
            <w:noProof/>
            <w:color w:val="000000"/>
          </w:rPr>
          <w:t>Вариант чистополой системы</w:t>
        </w:r>
        <w:r w:rsidRPr="00AC3D3D">
          <w:rPr>
            <w:noProof/>
            <w:webHidden/>
            <w:color w:val="000000"/>
          </w:rPr>
          <w:t>.</w:t>
        </w:r>
      </w:hyperlink>
      <w:r w:rsidRPr="002569FE">
        <w:t xml:space="preserve">Двухкаскадная система. </w:t>
      </w:r>
      <w:hyperlink w:anchor="_Toc341600106" w:history="1">
        <w:r w:rsidRPr="00AC3D3D">
          <w:rPr>
            <w:rStyle w:val="Hyperlink"/>
            <w:rFonts w:cs="Calibri"/>
            <w:noProof/>
            <w:color w:val="000000"/>
          </w:rPr>
          <w:t>Этап схождения.</w:t>
        </w:r>
      </w:hyperlink>
      <w:r w:rsidRPr="00AC3D3D">
        <w:rPr>
          <w:color w:val="000000"/>
        </w:rPr>
        <w:t xml:space="preserve"> </w:t>
      </w:r>
      <w:r w:rsidRPr="00AC3D3D">
        <w:rPr>
          <w:rStyle w:val="Hyperlink"/>
          <w:rFonts w:cs="Calibri"/>
          <w:noProof/>
          <w:color w:val="000000"/>
        </w:rPr>
        <w:t>Вариант с заполнением полости веществом малой плотности</w:t>
      </w:r>
      <w:r>
        <w:rPr>
          <w:rStyle w:val="Hyperlink"/>
          <w:rFonts w:cs="Calibri"/>
          <w:noProof/>
          <w:color w:val="000000"/>
        </w:rPr>
        <w:t xml:space="preserve">. </w:t>
      </w:r>
      <w:hyperlink w:anchor="_Toc341600110" w:history="1">
        <w:r w:rsidRPr="00AC3D3D">
          <w:rPr>
            <w:rStyle w:val="Hyperlink"/>
            <w:rFonts w:cs="Calibri"/>
            <w:noProof/>
            <w:color w:val="000000"/>
          </w:rPr>
          <w:t>Проверка аналитических построений  численными расчетами.</w:t>
        </w:r>
      </w:hyperlink>
      <w:r>
        <w:t xml:space="preserve"> </w:t>
      </w:r>
      <w:hyperlink w:anchor="_Toc341600109" w:history="1">
        <w:r w:rsidRPr="00AC3D3D">
          <w:rPr>
            <w:rStyle w:val="Hyperlink"/>
            <w:rFonts w:cs="Calibri"/>
            <w:noProof/>
            <w:color w:val="000000"/>
          </w:rPr>
          <w:t>Анализ зависимости величины отбора энергии от исходных параметров системы</w:t>
        </w:r>
      </w:hyperlink>
      <w:r w:rsidRPr="009F36C2">
        <w:t>Реализация безударных режимов сжатия</w:t>
      </w:r>
      <w:r>
        <w:t xml:space="preserve">. </w:t>
      </w:r>
      <w:hyperlink w:anchor="_Toc341632802" w:history="1">
        <w:r w:rsidRPr="00AC3D3D">
          <w:rPr>
            <w:rStyle w:val="Hyperlink"/>
            <w:rFonts w:cs="Calibri"/>
            <w:noProof/>
            <w:color w:val="000000"/>
          </w:rPr>
          <w:t>Построение оболочечных конструкций, реализующих движения безударного сжатия</w:t>
        </w:r>
      </w:hyperlink>
      <w:r w:rsidRPr="00AC3D3D">
        <w:rPr>
          <w:rStyle w:val="Hyperlink"/>
          <w:rFonts w:cs="Calibri"/>
          <w:noProof/>
          <w:color w:val="000000"/>
        </w:rPr>
        <w:t>в однокаскадной мишени.</w:t>
      </w:r>
      <w:r>
        <w:t xml:space="preserve"> </w:t>
      </w:r>
      <w:hyperlink w:anchor="_Toc341632802" w:history="1">
        <w:r w:rsidRPr="00AC3D3D">
          <w:rPr>
            <w:rStyle w:val="Hyperlink"/>
            <w:rFonts w:cs="Calibri"/>
            <w:noProof/>
            <w:color w:val="000000"/>
          </w:rPr>
          <w:t>Построение оболочечных конструкций, реализующих движения безударного сжатия</w:t>
        </w:r>
      </w:hyperlink>
      <w:r w:rsidRPr="00AC3D3D">
        <w:rPr>
          <w:rStyle w:val="Hyperlink"/>
          <w:rFonts w:cs="Calibri"/>
          <w:noProof/>
          <w:color w:val="000000"/>
        </w:rPr>
        <w:t xml:space="preserve"> в двухкаскадной системе.</w:t>
      </w:r>
      <w:hyperlink w:anchor="_Toc341632803" w:history="1">
        <w:r w:rsidRPr="00AC3D3D">
          <w:rPr>
            <w:rStyle w:val="Hyperlink"/>
            <w:rFonts w:cs="Calibri"/>
            <w:noProof/>
            <w:color w:val="000000"/>
          </w:rPr>
          <w:t xml:space="preserve">Подбор параметров в автономной задаче безударного сжатия, обеспечивающих загорание </w:t>
        </w:r>
        <w:r w:rsidRPr="00AC3D3D">
          <w:rPr>
            <w:rStyle w:val="Hyperlink"/>
            <w:rFonts w:cs="Calibri"/>
            <w:noProof/>
            <w:color w:val="000000"/>
            <w:lang w:val="en-US"/>
          </w:rPr>
          <w:t>DT</w:t>
        </w:r>
        <w:r w:rsidRPr="00AC3D3D">
          <w:rPr>
            <w:rStyle w:val="Hyperlink"/>
            <w:rFonts w:cs="Calibri"/>
            <w:noProof/>
            <w:color w:val="000000"/>
          </w:rPr>
          <w:t xml:space="preserve"> смеси</w:t>
        </w:r>
        <w:r w:rsidRPr="00AC3D3D">
          <w:rPr>
            <w:noProof/>
            <w:webHidden/>
            <w:color w:val="000000"/>
          </w:rPr>
          <w:t>.</w:t>
        </w:r>
      </w:hyperlink>
      <w:hyperlink w:anchor="_Toc341632804" w:history="1">
        <w:r w:rsidRPr="00AC3D3D">
          <w:rPr>
            <w:rStyle w:val="Hyperlink"/>
            <w:rFonts w:cs="Calibri"/>
            <w:noProof/>
            <w:color w:val="000000"/>
          </w:rPr>
          <w:t>Численные расчеты сжатия цилиндрических однокаскадных мишеней.</w:t>
        </w:r>
      </w:hyperlink>
      <w:hyperlink w:anchor="_Toc341632804" w:history="1">
        <w:r w:rsidRPr="00AC3D3D">
          <w:rPr>
            <w:rStyle w:val="Hyperlink"/>
            <w:rFonts w:cs="Calibri"/>
            <w:noProof/>
            <w:color w:val="000000"/>
          </w:rPr>
          <w:t>Численные расчеты сжатия цилиндрических двухкаскадных мишеней.</w:t>
        </w:r>
      </w:hyperlink>
      <w:r>
        <w:t>Анализ применения безударного сжатия к конструированию мишеней ИТИС.Анализ применения безударного сжатия к конструированию мишеней ИТИС.</w:t>
      </w:r>
    </w:p>
    <w:p w:rsidR="002578D5" w:rsidRDefault="002578D5" w:rsidP="00FE2602">
      <w:pPr>
        <w:ind w:left="-567" w:firstLine="567"/>
        <w:jc w:val="both"/>
      </w:pPr>
      <w:r>
        <w:t>КОНТРОЛЬНЫЕ ВОПРОСУ ПО КУРСУ</w:t>
      </w:r>
    </w:p>
    <w:p w:rsidR="002578D5" w:rsidRPr="00103688" w:rsidRDefault="002578D5" w:rsidP="005C7996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bookmarkStart w:id="0" w:name="_GoBack"/>
      <w:bookmarkEnd w:id="0"/>
      <w:r w:rsidRPr="00103688">
        <w:t xml:space="preserve">1. Характеристика процессов, лежащих в основе динамики излучающей </w:t>
      </w:r>
      <w:hyperlink w:anchor="_Toc341600099" w:history="1">
        <w:r w:rsidRPr="00103688">
          <w:rPr>
            <w:rStyle w:val="Hyperlink"/>
            <w:rFonts w:cs="Calibri"/>
            <w:noProof/>
            <w:color w:val="000000"/>
            <w:u w:val="none"/>
          </w:rPr>
          <w:t>1. Приближения, при которых строится решение</w:t>
        </w:r>
      </w:hyperlink>
    </w:p>
    <w:p w:rsidR="002578D5" w:rsidRPr="00103688" w:rsidRDefault="002578D5" w:rsidP="005C7996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103688">
        <w:rPr>
          <w:color w:val="000000"/>
        </w:rPr>
        <w:t>2.</w:t>
      </w:r>
      <w:r w:rsidRPr="00103688">
        <w:rPr>
          <w:color w:val="000000"/>
          <w:sz w:val="28"/>
          <w:szCs w:val="28"/>
        </w:rPr>
        <w:t xml:space="preserve"> </w:t>
      </w:r>
      <w:hyperlink w:anchor="_Toc341600100" w:history="1">
        <w:r w:rsidRPr="00103688">
          <w:rPr>
            <w:rStyle w:val="Hyperlink"/>
            <w:rFonts w:cs="Calibri"/>
            <w:noProof/>
            <w:color w:val="000000"/>
            <w:u w:val="none"/>
          </w:rPr>
          <w:t xml:space="preserve"> Однокаскадная система</w:t>
        </w:r>
      </w:hyperlink>
      <w:r w:rsidRPr="00103688">
        <w:rPr>
          <w:rStyle w:val="Hyperlink"/>
          <w:rFonts w:cs="Calibri"/>
          <w:noProof/>
          <w:color w:val="000000"/>
          <w:u w:val="none"/>
        </w:rPr>
        <w:t>.</w:t>
      </w:r>
      <w:hyperlink w:anchor="_Toc341600101" w:history="1">
        <w:r w:rsidRPr="00103688">
          <w:rPr>
            <w:rStyle w:val="Hyperlink"/>
            <w:rFonts w:cs="Calibri"/>
            <w:noProof/>
            <w:color w:val="000000"/>
            <w:u w:val="none"/>
          </w:rPr>
          <w:t xml:space="preserve"> Первый этап построения решений- движение слоев в плоском приближении.</w:t>
        </w:r>
      </w:hyperlink>
    </w:p>
    <w:p w:rsidR="002578D5" w:rsidRPr="00F5464E" w:rsidRDefault="002578D5" w:rsidP="005C7996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F5464E">
        <w:rPr>
          <w:color w:val="000000"/>
        </w:rPr>
        <w:t>3.</w:t>
      </w:r>
      <w:r w:rsidRPr="00F5464E">
        <w:rPr>
          <w:b/>
          <w:bCs/>
          <w:color w:val="000000"/>
        </w:rPr>
        <w:t xml:space="preserve"> </w:t>
      </w:r>
      <w:r w:rsidRPr="00F5464E">
        <w:rPr>
          <w:color w:val="000000"/>
        </w:rPr>
        <w:t>Однокаскадная система. Второй этап построения решений с учетом симметрии геометрии системы</w:t>
      </w:r>
    </w:p>
    <w:p w:rsidR="002578D5" w:rsidRPr="00F5464E" w:rsidRDefault="002578D5" w:rsidP="005C7996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F5464E">
        <w:rPr>
          <w:color w:val="000000"/>
        </w:rPr>
        <w:t>4.</w:t>
      </w:r>
      <w:r w:rsidRPr="00F5464E">
        <w:rPr>
          <w:b/>
          <w:bCs/>
          <w:color w:val="000000"/>
        </w:rPr>
        <w:t xml:space="preserve"> </w:t>
      </w:r>
      <w:r w:rsidRPr="00F5464E">
        <w:rPr>
          <w:color w:val="000000"/>
        </w:rPr>
        <w:t>Однокаскадная система. Третий этап- этап схождения в цилиндрическом и сферическом случаях. Вариант чистополой слойки.</w:t>
      </w:r>
    </w:p>
    <w:p w:rsidR="002578D5" w:rsidRPr="00F5464E" w:rsidRDefault="002578D5" w:rsidP="005C7996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F5464E">
        <w:rPr>
          <w:color w:val="000000"/>
        </w:rPr>
        <w:t>5.</w:t>
      </w:r>
      <w:r w:rsidRPr="00F5464E">
        <w:rPr>
          <w:color w:val="000000"/>
          <w:sz w:val="28"/>
          <w:szCs w:val="28"/>
        </w:rPr>
        <w:t xml:space="preserve"> </w:t>
      </w:r>
      <w:r w:rsidRPr="00F5464E">
        <w:rPr>
          <w:color w:val="000000"/>
        </w:rPr>
        <w:t>Однокаскадная система. Третий этап- этап схождения в цилиндрическом и сферическом случаях. Вариант с заполнением полости веществом малой плотности.</w:t>
      </w:r>
    </w:p>
    <w:p w:rsidR="002578D5" w:rsidRPr="005C7996" w:rsidRDefault="002578D5" w:rsidP="005C7996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5C7996">
        <w:rPr>
          <w:color w:val="000000"/>
        </w:rPr>
        <w:t>6.</w:t>
      </w:r>
      <w:r w:rsidRPr="005C7996">
        <w:rPr>
          <w:b/>
          <w:bCs/>
          <w:color w:val="000000"/>
        </w:rPr>
        <w:t xml:space="preserve"> </w:t>
      </w:r>
      <w:hyperlink w:anchor="_Toc341600104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Двухкаскадная система.</w:t>
        </w:r>
      </w:hyperlink>
      <w:r w:rsidRPr="005C7996">
        <w:rPr>
          <w:rStyle w:val="Hyperlink"/>
          <w:rFonts w:cs="Calibri"/>
          <w:noProof/>
          <w:color w:val="000000"/>
          <w:u w:val="none"/>
        </w:rPr>
        <w:t xml:space="preserve"> </w:t>
      </w:r>
      <w:hyperlink w:anchor="_Toc341600105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Первый этап- построение решения при совместном движении слоев двух каскадов.</w:t>
        </w:r>
      </w:hyperlink>
    </w:p>
    <w:p w:rsidR="002578D5" w:rsidRPr="005C7996" w:rsidRDefault="002578D5" w:rsidP="005C7996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5C7996">
        <w:rPr>
          <w:color w:val="000000"/>
        </w:rPr>
        <w:t>7.</w:t>
      </w:r>
      <w:r w:rsidRPr="005C7996">
        <w:rPr>
          <w:b/>
          <w:bCs/>
          <w:color w:val="000000"/>
        </w:rPr>
        <w:t xml:space="preserve"> </w:t>
      </w:r>
      <w:r w:rsidRPr="005C7996">
        <w:rPr>
          <w:color w:val="000000"/>
        </w:rPr>
        <w:t xml:space="preserve">Двухкаскадная система. </w:t>
      </w:r>
      <w:hyperlink w:anchor="_Toc341600106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Этап схождения.</w:t>
        </w:r>
      </w:hyperlink>
      <w:r w:rsidRPr="005C7996">
        <w:rPr>
          <w:rStyle w:val="Hyperlink"/>
          <w:rFonts w:cs="Calibri"/>
          <w:noProof/>
          <w:color w:val="000000"/>
          <w:u w:val="none"/>
        </w:rPr>
        <w:t xml:space="preserve"> </w:t>
      </w:r>
      <w:hyperlink w:anchor="_Toc341600107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Вариант чистополой системы</w:t>
        </w:r>
        <w:r w:rsidRPr="005C7996">
          <w:rPr>
            <w:noProof/>
            <w:webHidden/>
            <w:color w:val="000000"/>
          </w:rPr>
          <w:t>.</w:t>
        </w:r>
      </w:hyperlink>
    </w:p>
    <w:p w:rsidR="002578D5" w:rsidRPr="005C7996" w:rsidRDefault="002578D5" w:rsidP="005C7996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5C7996">
        <w:rPr>
          <w:color w:val="000000"/>
        </w:rPr>
        <w:t>8.</w:t>
      </w:r>
      <w:r w:rsidRPr="005C7996">
        <w:rPr>
          <w:color w:val="000000"/>
          <w:sz w:val="28"/>
          <w:szCs w:val="28"/>
        </w:rPr>
        <w:t xml:space="preserve"> </w:t>
      </w:r>
      <w:r w:rsidRPr="005C7996">
        <w:rPr>
          <w:color w:val="000000"/>
        </w:rPr>
        <w:t xml:space="preserve">Двухкаскадная система. </w:t>
      </w:r>
      <w:hyperlink w:anchor="_Toc341600106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Этап схождения.</w:t>
        </w:r>
      </w:hyperlink>
      <w:r w:rsidRPr="005C7996">
        <w:rPr>
          <w:color w:val="000000"/>
        </w:rPr>
        <w:t xml:space="preserve"> </w:t>
      </w:r>
      <w:r w:rsidRPr="005C7996">
        <w:rPr>
          <w:rStyle w:val="Hyperlink"/>
          <w:rFonts w:cs="Calibri"/>
          <w:noProof/>
          <w:color w:val="000000"/>
          <w:u w:val="none"/>
        </w:rPr>
        <w:t>Вариант с заполнением полости веществом малой плотности.</w:t>
      </w:r>
    </w:p>
    <w:p w:rsidR="002578D5" w:rsidRPr="005C7996" w:rsidRDefault="002578D5" w:rsidP="005C7996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5C7996">
        <w:rPr>
          <w:color w:val="000000"/>
        </w:rPr>
        <w:t>9.</w:t>
      </w:r>
      <w:r w:rsidRPr="005C7996">
        <w:rPr>
          <w:b/>
          <w:bCs/>
          <w:color w:val="000000"/>
        </w:rPr>
        <w:t xml:space="preserve"> </w:t>
      </w:r>
      <w:hyperlink w:anchor="_Toc341600110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Проверка аналитических построений  численными расчетами.</w:t>
        </w:r>
      </w:hyperlink>
    </w:p>
    <w:p w:rsidR="002578D5" w:rsidRPr="005C7996" w:rsidRDefault="002578D5" w:rsidP="005C7996">
      <w:pPr>
        <w:autoSpaceDE w:val="0"/>
        <w:autoSpaceDN w:val="0"/>
        <w:adjustRightInd w:val="0"/>
        <w:ind w:firstLine="567"/>
        <w:rPr>
          <w:rStyle w:val="Hyperlink"/>
          <w:rFonts w:cs="Calibri"/>
          <w:noProof/>
          <w:color w:val="000000"/>
          <w:u w:val="none"/>
        </w:rPr>
      </w:pPr>
      <w:r w:rsidRPr="005C7996">
        <w:rPr>
          <w:color w:val="000000"/>
        </w:rPr>
        <w:t>10.</w:t>
      </w:r>
      <w:r w:rsidRPr="005C7996">
        <w:rPr>
          <w:b/>
          <w:bCs/>
          <w:color w:val="000000"/>
        </w:rPr>
        <w:t xml:space="preserve"> </w:t>
      </w:r>
      <w:hyperlink w:anchor="_Toc341600109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Анализ зависимости величины отбора энергии от исходных параметров системы</w:t>
        </w:r>
      </w:hyperlink>
      <w:r w:rsidRPr="005C7996">
        <w:rPr>
          <w:rStyle w:val="Hyperlink"/>
          <w:rFonts w:cs="Calibri"/>
          <w:noProof/>
          <w:color w:val="000000"/>
          <w:u w:val="none"/>
        </w:rPr>
        <w:t>.</w:t>
      </w:r>
    </w:p>
    <w:p w:rsidR="002578D5" w:rsidRPr="005C7996" w:rsidRDefault="002578D5" w:rsidP="005C7996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5C7996">
        <w:rPr>
          <w:color w:val="000000"/>
        </w:rPr>
        <w:t>11.</w:t>
      </w:r>
      <w:r w:rsidRPr="005C7996">
        <w:rPr>
          <w:b/>
          <w:bCs/>
          <w:color w:val="000000"/>
        </w:rPr>
        <w:t xml:space="preserve"> </w:t>
      </w:r>
      <w:r w:rsidRPr="005C7996">
        <w:rPr>
          <w:color w:val="000000"/>
        </w:rPr>
        <w:t>Реализация безударных режимов сжатия.</w:t>
      </w:r>
    </w:p>
    <w:p w:rsidR="002578D5" w:rsidRPr="005C7996" w:rsidRDefault="002578D5" w:rsidP="005C7996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5C7996">
        <w:rPr>
          <w:color w:val="000000"/>
        </w:rPr>
        <w:t xml:space="preserve">12. </w:t>
      </w:r>
      <w:hyperlink w:anchor="_Toc341632802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Построение оболочечных конструкций, реализующих движения безударного сжатия</w:t>
        </w:r>
      </w:hyperlink>
      <w:r w:rsidRPr="005C7996">
        <w:rPr>
          <w:rStyle w:val="Hyperlink"/>
          <w:rFonts w:cs="Calibri"/>
          <w:noProof/>
          <w:color w:val="000000"/>
          <w:u w:val="none"/>
        </w:rPr>
        <w:t xml:space="preserve"> в однокаскадной мишени.</w:t>
      </w:r>
    </w:p>
    <w:p w:rsidR="002578D5" w:rsidRPr="005C7996" w:rsidRDefault="002578D5" w:rsidP="005C7996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5C7996">
        <w:rPr>
          <w:color w:val="000000"/>
        </w:rPr>
        <w:t>13.</w:t>
      </w:r>
      <w:r w:rsidRPr="005C7996">
        <w:rPr>
          <w:b/>
          <w:bCs/>
          <w:color w:val="000000"/>
        </w:rPr>
        <w:t xml:space="preserve"> </w:t>
      </w:r>
      <w:hyperlink w:anchor="_Toc341632802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Построение оболочечных конструкций, реализующих движения безударного сжатия</w:t>
        </w:r>
      </w:hyperlink>
      <w:r w:rsidRPr="005C7996">
        <w:rPr>
          <w:rStyle w:val="Hyperlink"/>
          <w:rFonts w:cs="Calibri"/>
          <w:noProof/>
          <w:color w:val="000000"/>
          <w:u w:val="none"/>
        </w:rPr>
        <w:t xml:space="preserve"> в двухкаскадной системе.</w:t>
      </w:r>
    </w:p>
    <w:p w:rsidR="002578D5" w:rsidRPr="005C7996" w:rsidRDefault="002578D5" w:rsidP="005C7996">
      <w:pPr>
        <w:autoSpaceDE w:val="0"/>
        <w:autoSpaceDN w:val="0"/>
        <w:adjustRightInd w:val="0"/>
        <w:ind w:firstLine="567"/>
        <w:rPr>
          <w:rStyle w:val="Hyperlink"/>
          <w:rFonts w:cs="Calibri"/>
          <w:noProof/>
          <w:u w:val="none"/>
        </w:rPr>
      </w:pPr>
      <w:r w:rsidRPr="005C7996">
        <w:rPr>
          <w:color w:val="000000"/>
        </w:rPr>
        <w:t xml:space="preserve">14. </w:t>
      </w:r>
      <w:hyperlink w:anchor="_Toc341632803" w:history="1">
        <w:r w:rsidRPr="005C7996">
          <w:rPr>
            <w:rStyle w:val="Hyperlink"/>
            <w:rFonts w:cs="Calibri"/>
            <w:noProof/>
            <w:color w:val="000000"/>
            <w:u w:val="none"/>
          </w:rPr>
          <w:t xml:space="preserve">Подбор параметров в автономной задаче безударного сжатия, обеспечивающих загорание </w:t>
        </w:r>
        <w:r w:rsidRPr="005C7996">
          <w:rPr>
            <w:rStyle w:val="Hyperlink"/>
            <w:rFonts w:cs="Calibri"/>
            <w:noProof/>
            <w:color w:val="000000"/>
            <w:u w:val="none"/>
            <w:lang w:val="en-US"/>
          </w:rPr>
          <w:t>DT</w:t>
        </w:r>
        <w:r w:rsidRPr="005C7996">
          <w:rPr>
            <w:rStyle w:val="Hyperlink"/>
            <w:rFonts w:cs="Calibri"/>
            <w:noProof/>
            <w:color w:val="000000"/>
            <w:u w:val="none"/>
          </w:rPr>
          <w:t xml:space="preserve"> смеси</w:t>
        </w:r>
        <w:r w:rsidRPr="005C7996">
          <w:rPr>
            <w:noProof/>
            <w:webHidden/>
            <w:color w:val="000000"/>
          </w:rPr>
          <w:t>.</w:t>
        </w:r>
      </w:hyperlink>
    </w:p>
    <w:p w:rsidR="002578D5" w:rsidRPr="005C7996" w:rsidRDefault="002578D5" w:rsidP="005C7996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5C7996">
        <w:rPr>
          <w:color w:val="000000"/>
        </w:rPr>
        <w:t xml:space="preserve">15. </w:t>
      </w:r>
      <w:hyperlink w:anchor="_Toc341632804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Численные расчеты сжатия цилиндрических однокаскадных мишеней.</w:t>
        </w:r>
      </w:hyperlink>
    </w:p>
    <w:p w:rsidR="002578D5" w:rsidRPr="005C7996" w:rsidRDefault="002578D5" w:rsidP="005C7996">
      <w:pPr>
        <w:ind w:firstLine="540"/>
      </w:pPr>
      <w:r w:rsidRPr="005C7996">
        <w:rPr>
          <w:color w:val="000000"/>
        </w:rPr>
        <w:t>16.</w:t>
      </w:r>
      <w:r w:rsidRPr="005C7996">
        <w:rPr>
          <w:b/>
          <w:bCs/>
          <w:color w:val="000000"/>
        </w:rPr>
        <w:t xml:space="preserve"> </w:t>
      </w:r>
      <w:hyperlink w:anchor="_Toc341632804" w:history="1">
        <w:r w:rsidRPr="005C7996">
          <w:rPr>
            <w:rStyle w:val="Hyperlink"/>
            <w:rFonts w:cs="Calibri"/>
            <w:noProof/>
            <w:color w:val="000000"/>
            <w:u w:val="none"/>
          </w:rPr>
          <w:t>Численные расчеты сжатия цилиндрических двухкаскадных мишеней.</w:t>
        </w:r>
      </w:hyperlink>
    </w:p>
    <w:sectPr w:rsidR="002578D5" w:rsidRPr="005C7996" w:rsidSect="00E9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44FDB"/>
    <w:multiLevelType w:val="hybridMultilevel"/>
    <w:tmpl w:val="AC70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827544"/>
    <w:multiLevelType w:val="hybridMultilevel"/>
    <w:tmpl w:val="FE54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602"/>
    <w:rsid w:val="000403D5"/>
    <w:rsid w:val="00056729"/>
    <w:rsid w:val="000770A5"/>
    <w:rsid w:val="0009797D"/>
    <w:rsid w:val="000A05AD"/>
    <w:rsid w:val="00103688"/>
    <w:rsid w:val="001129AB"/>
    <w:rsid w:val="00164E4E"/>
    <w:rsid w:val="001F0559"/>
    <w:rsid w:val="00201FCA"/>
    <w:rsid w:val="002274F8"/>
    <w:rsid w:val="002569FE"/>
    <w:rsid w:val="002578D5"/>
    <w:rsid w:val="003078CE"/>
    <w:rsid w:val="00316FCA"/>
    <w:rsid w:val="00334E34"/>
    <w:rsid w:val="0038010F"/>
    <w:rsid w:val="00383363"/>
    <w:rsid w:val="003B6C21"/>
    <w:rsid w:val="003F196A"/>
    <w:rsid w:val="00474F45"/>
    <w:rsid w:val="005C7996"/>
    <w:rsid w:val="005D153E"/>
    <w:rsid w:val="005F6680"/>
    <w:rsid w:val="00601F6B"/>
    <w:rsid w:val="00680AAC"/>
    <w:rsid w:val="007563CE"/>
    <w:rsid w:val="007F4C5A"/>
    <w:rsid w:val="00907A70"/>
    <w:rsid w:val="009659DB"/>
    <w:rsid w:val="009F36C2"/>
    <w:rsid w:val="00A1291E"/>
    <w:rsid w:val="00AC3D3D"/>
    <w:rsid w:val="00B22EE9"/>
    <w:rsid w:val="00B40141"/>
    <w:rsid w:val="00C52FD1"/>
    <w:rsid w:val="00DC1FAE"/>
    <w:rsid w:val="00E803F1"/>
    <w:rsid w:val="00E90D46"/>
    <w:rsid w:val="00F5464E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2602"/>
    <w:pPr>
      <w:ind w:left="708"/>
    </w:pPr>
  </w:style>
  <w:style w:type="character" w:customStyle="1" w:styleId="st">
    <w:name w:val="st"/>
    <w:basedOn w:val="DefaultParagraphFont"/>
    <w:uiPriority w:val="99"/>
    <w:rsid w:val="00FE260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E2602"/>
    <w:rPr>
      <w:rFonts w:cs="Times New Roman"/>
      <w:i/>
      <w:iCs/>
    </w:rPr>
  </w:style>
  <w:style w:type="paragraph" w:customStyle="1" w:styleId="1">
    <w:name w:val="Абзац списка1"/>
    <w:basedOn w:val="Normal"/>
    <w:uiPriority w:val="99"/>
    <w:rsid w:val="00FE2602"/>
    <w:pPr>
      <w:suppressAutoHyphens/>
      <w:spacing w:after="200" w:line="276" w:lineRule="auto"/>
    </w:pPr>
    <w:rPr>
      <w:rFonts w:ascii="Calibri" w:eastAsia="SimSun" w:hAnsi="Calibri" w:cs="Tahoma"/>
      <w:kern w:val="2"/>
      <w:sz w:val="22"/>
      <w:szCs w:val="22"/>
      <w:lang w:eastAsia="ar-SA"/>
    </w:rPr>
  </w:style>
  <w:style w:type="character" w:customStyle="1" w:styleId="FontStyle14">
    <w:name w:val="Font Style14"/>
    <w:basedOn w:val="DefaultParagraphFont"/>
    <w:uiPriority w:val="99"/>
    <w:rsid w:val="005C7996"/>
    <w:rPr>
      <w:rFonts w:ascii="Arial" w:hAnsi="Arial" w:cs="Arial"/>
      <w:sz w:val="12"/>
      <w:szCs w:val="12"/>
    </w:rPr>
  </w:style>
  <w:style w:type="character" w:styleId="Hyperlink">
    <w:name w:val="Hyperlink"/>
    <w:basedOn w:val="DefaultParagraphFont"/>
    <w:uiPriority w:val="99"/>
    <w:rsid w:val="005C79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706</Words>
  <Characters>4025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РАЗНОСТНЫХ СХЕМ И ИХ ПАРАЛЛЕЛЬНАЯ РЕАЛИЗАЦИЯ</dc:title>
  <dc:subject/>
  <dc:creator>Колдоба</dc:creator>
  <cp:keywords/>
  <dc:description/>
  <cp:lastModifiedBy>Windows 7</cp:lastModifiedBy>
  <cp:revision>3</cp:revision>
  <dcterms:created xsi:type="dcterms:W3CDTF">2020-01-21T12:05:00Z</dcterms:created>
  <dcterms:modified xsi:type="dcterms:W3CDTF">2020-01-21T14:13:00Z</dcterms:modified>
</cp:coreProperties>
</file>